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血透室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医疗专用电源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3D303C70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13日</w:t>
      </w:r>
    </w:p>
    <w:p w14:paraId="78317DD4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12690"/>
      <w:bookmarkStart w:id="1" w:name="_Toc31699"/>
      <w:bookmarkStart w:id="2" w:name="_Toc42014953"/>
      <w:bookmarkStart w:id="3" w:name="_Toc16543"/>
      <w:bookmarkStart w:id="4" w:name="_Toc42015018"/>
      <w:bookmarkStart w:id="5" w:name="_Toc25494"/>
      <w:bookmarkStart w:id="6" w:name="_Toc519708707"/>
      <w:bookmarkStart w:id="7" w:name="_Toc42015219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血透室医疗专用电源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血透室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医疗专用电源的询价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5220"/>
      <w:bookmarkStart w:id="9" w:name="_Toc24738"/>
      <w:bookmarkStart w:id="10" w:name="_Toc42014954"/>
      <w:bookmarkStart w:id="11" w:name="_Toc12952"/>
      <w:bookmarkStart w:id="12" w:name="_Toc9714"/>
      <w:bookmarkStart w:id="13" w:name="_Toc9341"/>
      <w:bookmarkStart w:id="14" w:name="_Toc8915"/>
      <w:bookmarkStart w:id="15" w:name="_Toc10646"/>
      <w:bookmarkStart w:id="16" w:name="_Toc42015019"/>
      <w:bookmarkStart w:id="17" w:name="_Toc5155"/>
      <w:bookmarkStart w:id="18" w:name="_Toc514409265"/>
      <w:bookmarkStart w:id="19" w:name="_Toc519708708"/>
      <w:bookmarkStart w:id="20" w:name="_Toc13516"/>
      <w:bookmarkStart w:id="21" w:name="_Toc10579"/>
      <w:bookmarkStart w:id="22" w:name="_Toc514424483"/>
      <w:bookmarkStart w:id="23" w:name="_Toc1527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D265333">
      <w:pPr>
        <w:rPr>
          <w:rFonts w:hint="eastAsia"/>
        </w:rPr>
      </w:pPr>
      <w:bookmarkStart w:id="24" w:name="_Toc19542"/>
      <w:bookmarkStart w:id="25" w:name="_Toc16088"/>
      <w:bookmarkStart w:id="26" w:name="_Toc7099"/>
      <w:bookmarkStart w:id="27" w:name="_Toc42014957"/>
      <w:bookmarkStart w:id="28" w:name="_Toc7672"/>
      <w:bookmarkStart w:id="29" w:name="_Toc21920"/>
      <w:bookmarkStart w:id="30" w:name="_Toc36199918"/>
      <w:bookmarkStart w:id="31" w:name="_Toc42015223"/>
      <w:bookmarkStart w:id="32" w:name="_Toc25115"/>
      <w:bookmarkStart w:id="33" w:name="_Toc27016"/>
      <w:bookmarkStart w:id="34" w:name="_Toc751"/>
      <w:bookmarkStart w:id="35" w:name="_Toc42015022"/>
      <w:bookmarkStart w:id="36" w:name="_Toc15373"/>
    </w:p>
    <w:p w14:paraId="1A4AAB86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36"/>
          <w:lang w:val="en-US" w:eastAsia="zh-CN" w:bidi="ar-SA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数量一套</w:t>
      </w:r>
    </w:p>
    <w:p w14:paraId="2AEC4A99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36"/>
          <w:lang w:val="en-US" w:eastAsia="zh-CN" w:bidi="ar-SA"/>
        </w:rPr>
        <w:t>2、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28"/>
          <w:szCs w:val="28"/>
          <w:u w:val="none"/>
          <w:lang w:val="en-US" w:eastAsia="zh-CN"/>
        </w:rPr>
        <w:t>负载≥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160kw</w:t>
      </w:r>
    </w:p>
    <w:p w14:paraId="4AAC369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36"/>
          <w:lang w:val="en-US" w:eastAsia="zh-CN" w:bidi="ar-SA"/>
        </w:rPr>
        <w:t>3、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持续供电时间≥0.5小时</w:t>
      </w:r>
    </w:p>
    <w:p w14:paraId="531EE9BE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36"/>
          <w:lang w:val="en-US" w:eastAsia="zh-CN" w:bidi="ar-SA"/>
        </w:rPr>
        <w:t>4、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按照相关规范采用多级组成N+1或多模组组成N+1的安全模式</w:t>
      </w:r>
    </w:p>
    <w:p w14:paraId="55203C92">
      <w:pPr>
        <w:numPr>
          <w:ilvl w:val="0"/>
          <w:numId w:val="0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36"/>
          <w:lang w:val="en-US" w:eastAsia="zh-CN" w:bidi="ar-SA"/>
        </w:rPr>
        <w:t>5、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质保：5年</w:t>
      </w:r>
    </w:p>
    <w:p w14:paraId="50B94A5C">
      <w:pPr>
        <w:numPr>
          <w:ilvl w:val="0"/>
          <w:numId w:val="0"/>
        </w:numPr>
        <w:ind w:left="0" w:leftChars="0" w:firstLine="0" w:firstLineChars="0"/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*各潜在供应商所报名设备必须满足或优于以上要求，否则做无效文件处理</w:t>
      </w:r>
      <w:bookmarkStart w:id="42" w:name="_GoBack"/>
      <w:bookmarkEnd w:id="42"/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5BBAD2D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25CA5E8D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6A8EEC30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67595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3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0F9A88CB"/>
    <w:p w14:paraId="48ADFCE2"/>
    <w:p w14:paraId="063CB688"/>
    <w:p w14:paraId="0D56C9EB"/>
    <w:p w14:paraId="35D57CA2"/>
    <w:p w14:paraId="09D729F8"/>
    <w:p w14:paraId="0CFC8AE0"/>
    <w:p w14:paraId="5A1D1387"/>
    <w:p w14:paraId="6E5405AA"/>
    <w:p w14:paraId="513BEACC"/>
    <w:p w14:paraId="2069E8AE"/>
    <w:p w14:paraId="4D0643F0"/>
    <w:p w14:paraId="3210BAED"/>
    <w:p w14:paraId="41D62F92"/>
    <w:p w14:paraId="4E706F46"/>
    <w:p w14:paraId="1BFCC376"/>
    <w:p w14:paraId="2C6A2997"/>
    <w:p w14:paraId="5866467D"/>
    <w:p w14:paraId="2223F9B7"/>
    <w:p w14:paraId="3AABD92D"/>
    <w:p w14:paraId="38988AC5"/>
    <w:p w14:paraId="3D30668F"/>
    <w:p w14:paraId="1224C6D7"/>
    <w:p w14:paraId="302A8DD4"/>
    <w:p w14:paraId="06015774"/>
    <w:p w14:paraId="00D6807D"/>
    <w:p w14:paraId="1A22B597"/>
    <w:p w14:paraId="4AFF35D6"/>
    <w:p w14:paraId="2F34123E"/>
    <w:p w14:paraId="1408D198"/>
    <w:p w14:paraId="5E057602"/>
    <w:p w14:paraId="03CF0F4D"/>
    <w:p w14:paraId="74693E7F"/>
    <w:p w14:paraId="7902C61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145BE92C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佐证资料（合同、发票）</w:t>
      </w:r>
    </w:p>
    <w:p w14:paraId="1E4843E3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9625C05"/>
    <w:rsid w:val="0ABE1F44"/>
    <w:rsid w:val="1D9A4023"/>
    <w:rsid w:val="21504C72"/>
    <w:rsid w:val="23C91E2B"/>
    <w:rsid w:val="2D1C5657"/>
    <w:rsid w:val="2DF61962"/>
    <w:rsid w:val="2ED41B53"/>
    <w:rsid w:val="307B2EF8"/>
    <w:rsid w:val="309B51CA"/>
    <w:rsid w:val="31CE7882"/>
    <w:rsid w:val="32A76F70"/>
    <w:rsid w:val="32D32370"/>
    <w:rsid w:val="335B346E"/>
    <w:rsid w:val="44C26429"/>
    <w:rsid w:val="45232927"/>
    <w:rsid w:val="45CF482F"/>
    <w:rsid w:val="48A90B28"/>
    <w:rsid w:val="49C7499F"/>
    <w:rsid w:val="4A717C55"/>
    <w:rsid w:val="4FCA2526"/>
    <w:rsid w:val="52A42F98"/>
    <w:rsid w:val="61CE2A1B"/>
    <w:rsid w:val="62837576"/>
    <w:rsid w:val="650359EB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3370</Words>
  <Characters>3612</Characters>
  <Lines>0</Lines>
  <Paragraphs>0</Paragraphs>
  <TotalTime>20</TotalTime>
  <ScaleCrop>false</ScaleCrop>
  <LinksUpToDate>false</LinksUpToDate>
  <CharactersWithSpaces>4151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2024-11-13T10:19:05Z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33195A55DC274071AC1C0DBD29C3BBF1_13</vt:lpwstr>
  </property>
</Properties>
</file>