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酶标仪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B7DC36A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7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23日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42014953"/>
      <w:bookmarkStart w:id="1" w:name="_Toc31699"/>
      <w:bookmarkStart w:id="2" w:name="_Toc42015219"/>
      <w:bookmarkStart w:id="3" w:name="_Toc12690"/>
      <w:bookmarkStart w:id="4" w:name="_Toc42015018"/>
      <w:bookmarkStart w:id="5" w:name="_Toc25494"/>
      <w:bookmarkStart w:id="6" w:name="_Toc16543"/>
      <w:bookmarkStart w:id="7" w:name="_Toc519708707"/>
      <w:bookmarkStart w:id="42" w:name="_GoBack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根据我院建设工作需要，拟对“酶标仪”进行市场调研询价，欢迎符合条件的供应商参加。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一、项目名称：广元市中心医院关于酶标仪的市场调研询价项目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联系电话：0839-3231247</w:t>
      </w:r>
    </w:p>
    <w:bookmarkEnd w:id="42"/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13516"/>
      <w:bookmarkStart w:id="9" w:name="_Toc5155"/>
      <w:bookmarkStart w:id="10" w:name="_Toc9714"/>
      <w:bookmarkStart w:id="11" w:name="_Toc9341"/>
      <w:bookmarkStart w:id="12" w:name="_Toc12952"/>
      <w:bookmarkStart w:id="13" w:name="_Toc15278"/>
      <w:bookmarkStart w:id="14" w:name="_Toc10646"/>
      <w:bookmarkStart w:id="15" w:name="_Toc519708708"/>
      <w:bookmarkStart w:id="16" w:name="_Toc42015019"/>
      <w:bookmarkStart w:id="17" w:name="_Toc8915"/>
      <w:bookmarkStart w:id="18" w:name="_Toc10579"/>
      <w:bookmarkStart w:id="19" w:name="_Toc24738"/>
      <w:bookmarkStart w:id="20" w:name="_Toc42014954"/>
      <w:bookmarkStart w:id="21" w:name="_Toc514409265"/>
      <w:bookmarkStart w:id="22" w:name="_Toc514424483"/>
      <w:bookmarkStart w:id="23" w:name="_Toc42015220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1348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b/>
          <w:sz w:val="24"/>
          <w:szCs w:val="24"/>
        </w:rPr>
      </w:pPr>
      <w:bookmarkStart w:id="24" w:name="_Toc25115"/>
      <w:bookmarkStart w:id="25" w:name="_Toc36199918"/>
      <w:bookmarkStart w:id="26" w:name="_Toc16088"/>
      <w:bookmarkStart w:id="27" w:name="_Toc19542"/>
      <w:bookmarkStart w:id="28" w:name="_Toc751"/>
      <w:bookmarkStart w:id="29" w:name="_Toc42014957"/>
      <w:bookmarkStart w:id="30" w:name="_Toc7672"/>
      <w:bookmarkStart w:id="31" w:name="_Toc21920"/>
      <w:bookmarkStart w:id="32" w:name="_Toc42015022"/>
      <w:bookmarkStart w:id="33" w:name="_Toc7099"/>
      <w:bookmarkStart w:id="34" w:name="_Toc15373"/>
      <w:bookmarkStart w:id="35" w:name="_Toc42015223"/>
      <w:bookmarkStart w:id="36" w:name="_Toc27016"/>
      <w:r>
        <w:rPr>
          <w:rStyle w:val="18"/>
          <w:rFonts w:hint="eastAsia" w:ascii="微软雅黑" w:hAnsi="微软雅黑" w:eastAsia="微软雅黑" w:cs="微软雅黑"/>
          <w:b/>
          <w:sz w:val="24"/>
          <w:szCs w:val="24"/>
        </w:rPr>
        <w:t>一、基本参数</w:t>
      </w:r>
    </w:p>
    <w:p w14:paraId="2C1F9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1、波长：400-750nm，8个滤光片位置（标配405、450、492、630nm；选配414、546、578、690nm）</w:t>
      </w:r>
    </w:p>
    <w:p w14:paraId="38DD2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2、测量范围：0.0-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  <w:t>4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  <w:t>0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（A）</w:t>
      </w:r>
    </w:p>
    <w:p w14:paraId="0DAFC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3、检测通道：8通道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  <w:t>。</w:t>
      </w:r>
    </w:p>
    <w:p w14:paraId="5795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4、测量方式：单波长、双波长、两点法、动力法、多波长、外部计算机控制测量。</w:t>
      </w:r>
    </w:p>
    <w:p w14:paraId="6C982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＊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5、计算方式：吸光度法、系数浓度法、标准浓度法、标准曲线法、单限检测、双限检测、等级检测、列减法等。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  <w:t>需要提供检测报告证明文件。</w:t>
      </w:r>
    </w:p>
    <w:p w14:paraId="57041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＊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6、测试速度：≤96孔/3秒（完成一次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  <w:t>96孔板读数）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。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  <w:t>需要提供检测报告文件。</w:t>
      </w:r>
    </w:p>
    <w:p w14:paraId="2CE3A8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稳定性：≤0.0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  <w:t>04</w:t>
      </w:r>
    </w:p>
    <w:p w14:paraId="3148E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8、重复性：≤0.0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  <w:t>05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A</w:t>
      </w:r>
    </w:p>
    <w:p w14:paraId="4BE13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9、显示方式：中文</w:t>
      </w:r>
    </w:p>
    <w:p w14:paraId="75FC6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10、存储容量：可存储≥450个检测程序和≥800次96孔板检测结果</w:t>
      </w:r>
    </w:p>
    <w:p w14:paraId="2FA57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8"/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＊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11、打印功能：标准外接打印机（不接受内置打印机），打印A4纸张报告单。</w:t>
      </w:r>
    </w:p>
    <w:p w14:paraId="5035F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＊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1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val="en-US"/>
        </w:rPr>
        <w:t>2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、配套耗材：具有同品牌配套免疫试剂，至少具有乙肝五项，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  <w:lang w:eastAsia="zh-CN"/>
        </w:rPr>
        <w:t>丙肝、</w:t>
      </w: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梅毒、艾滋项目，需要提供注册证。</w:t>
      </w:r>
    </w:p>
    <w:p w14:paraId="6BA5BFCD">
      <w:pPr>
        <w:pStyle w:val="2"/>
        <w:jc w:val="both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2985695D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44FA825F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BD434E6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93E137C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24423EC9">
      <w:pPr>
        <w:rPr>
          <w:rFonts w:hint="eastAsia"/>
          <w:color w:val="auto"/>
          <w:sz w:val="36"/>
          <w:szCs w:val="48"/>
          <w:highlight w:val="none"/>
        </w:rPr>
      </w:pPr>
    </w:p>
    <w:p w14:paraId="6E936E60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29D437E0">
      <w:pPr>
        <w:pStyle w:val="5"/>
        <w:rPr>
          <w:rFonts w:hint="eastAsia"/>
          <w:color w:val="auto"/>
          <w:sz w:val="36"/>
          <w:szCs w:val="48"/>
          <w:highlight w:val="none"/>
        </w:rPr>
      </w:pPr>
    </w:p>
    <w:p w14:paraId="7AC6AE97">
      <w:pPr>
        <w:rPr>
          <w:rFonts w:hint="eastAsia"/>
        </w:rPr>
      </w:pPr>
    </w:p>
    <w:p w14:paraId="6D93852B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6A4204B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1FF393F7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202345B3">
      <w:pPr>
        <w:rPr>
          <w:rFonts w:hint="eastAsia"/>
          <w:color w:val="auto"/>
          <w:sz w:val="36"/>
          <w:szCs w:val="48"/>
          <w:highlight w:val="none"/>
        </w:rPr>
      </w:pPr>
    </w:p>
    <w:p w14:paraId="2F40F930">
      <w:pPr>
        <w:rPr>
          <w:rFonts w:hint="eastAsia"/>
          <w:color w:val="auto"/>
          <w:sz w:val="36"/>
          <w:szCs w:val="48"/>
          <w:highlight w:val="none"/>
        </w:rPr>
      </w:pPr>
    </w:p>
    <w:p w14:paraId="133E6BC9">
      <w:pPr>
        <w:rPr>
          <w:rFonts w:hint="eastAsia"/>
          <w:color w:val="auto"/>
          <w:sz w:val="36"/>
          <w:szCs w:val="48"/>
          <w:highlight w:val="none"/>
        </w:rPr>
      </w:pPr>
    </w:p>
    <w:p w14:paraId="269BBEE7">
      <w:pPr>
        <w:rPr>
          <w:rFonts w:hint="eastAsia"/>
          <w:color w:val="auto"/>
          <w:sz w:val="36"/>
          <w:szCs w:val="48"/>
          <w:highlight w:val="none"/>
        </w:rPr>
      </w:pPr>
    </w:p>
    <w:p w14:paraId="3B5357E2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24FE4D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2888CE03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930F32F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DD1EC7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D0E0F5"/>
    <w:multiLevelType w:val="singleLevel"/>
    <w:tmpl w:val="54D0E0F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1D9A4023"/>
    <w:rsid w:val="23C91E2B"/>
    <w:rsid w:val="2BE45B64"/>
    <w:rsid w:val="2D1C5657"/>
    <w:rsid w:val="2ED41B53"/>
    <w:rsid w:val="32A76F70"/>
    <w:rsid w:val="32D32370"/>
    <w:rsid w:val="35BA1377"/>
    <w:rsid w:val="386D2F7B"/>
    <w:rsid w:val="3C301E9B"/>
    <w:rsid w:val="423751DF"/>
    <w:rsid w:val="44C26429"/>
    <w:rsid w:val="48A90B28"/>
    <w:rsid w:val="49C7499F"/>
    <w:rsid w:val="4AE81F58"/>
    <w:rsid w:val="6C666A35"/>
    <w:rsid w:val="6E1D781F"/>
    <w:rsid w:val="6ED73A21"/>
    <w:rsid w:val="730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Table Paragraph"/>
    <w:basedOn w:val="1"/>
    <w:qFormat/>
    <w:uiPriority w:val="1"/>
    <w:pPr>
      <w:spacing w:line="309" w:lineRule="exact"/>
    </w:p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UP标题3 Char Char"/>
    <w:basedOn w:val="12"/>
    <w:link w:val="19"/>
    <w:uiPriority w:val="0"/>
    <w:rPr>
      <w:rFonts w:ascii="黑体" w:eastAsia="黑体"/>
      <w:kern w:val="2"/>
      <w:sz w:val="28"/>
      <w:lang w:val="en-US" w:eastAsia="zh-CN" w:bidi="ar-SA"/>
    </w:rPr>
  </w:style>
  <w:style w:type="paragraph" w:customStyle="1" w:styleId="19">
    <w:name w:val="UP标题3"/>
    <w:basedOn w:val="1"/>
    <w:link w:val="18"/>
    <w:qFormat/>
    <w:uiPriority w:val="0"/>
    <w:pPr>
      <w:spacing w:line="360" w:lineRule="auto"/>
      <w:ind w:firstLine="149" w:firstLineChars="149"/>
    </w:pPr>
    <w:rPr>
      <w:rFonts w:ascii="黑体" w:eastAsia="黑体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3426</Words>
  <Characters>3673</Characters>
  <Lines>0</Lines>
  <Paragraphs>0</Paragraphs>
  <TotalTime>0</TotalTime>
  <ScaleCrop>false</ScaleCrop>
  <LinksUpToDate>false</LinksUpToDate>
  <CharactersWithSpaces>4216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2024-07-23T02:12:49Z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F29A890C70794B1EB3C99631BB30801C_13</vt:lpwstr>
  </property>
</Properties>
</file>