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-562610</wp:posOffset>
            </wp:positionV>
            <wp:extent cx="3387725" cy="609600"/>
            <wp:effectExtent l="0" t="0" r="0" b="0"/>
            <wp:wrapTight wrapText="bothSides">
              <wp:wrapPolygon>
                <wp:start x="0" y="0"/>
                <wp:lineTo x="0" y="20925"/>
                <wp:lineTo x="21499" y="20925"/>
                <wp:lineTo x="21499" y="0"/>
                <wp:lineTo x="0" y="0"/>
              </wp:wrapPolygon>
            </wp:wrapTight>
            <wp:docPr id="1" name="图片 1" descr="D:\共享文件夹\共享文件夹\医院图片\封面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共享文件夹\共享文件夹\医院图片\封面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附件1</w:t>
      </w:r>
      <w:bookmarkStart w:id="0" w:name="_GoBack"/>
      <w:bookmarkEnd w:id="0"/>
    </w:p>
    <w:p>
      <w:pPr>
        <w:tabs>
          <w:tab w:val="left" w:pos="795"/>
        </w:tabs>
        <w:spacing w:line="5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广元市中心医院简介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广元市中心医院始建于1950年，是国家三级甲等综合性医院，四川省九大地市级区域医疗中心之一的川北区域医疗中心，是首批国家级住院医师规范化培训基地，四川省护士规范化培训基地，是川北医学院非直管附属医院、硕士研究生培养点、本科全程教学基地，承担着区域内及周边地区20多个市、县（区）危急重症救治、临床科研、教学指导重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医院编制床位1800张，现有一级诊疗科目25个、二级诊疗科目8</w:t>
      </w:r>
      <w:r>
        <w:rPr>
          <w:rFonts w:ascii="仿宋_GB2312" w:hAnsi="宋体" w:eastAsia="仿宋_GB2312"/>
          <w:sz w:val="32"/>
          <w:szCs w:val="28"/>
        </w:rPr>
        <w:t>4</w:t>
      </w:r>
      <w:r>
        <w:rPr>
          <w:rFonts w:hint="eastAsia" w:ascii="仿宋_GB2312" w:hAnsi="宋体" w:eastAsia="仿宋_GB2312"/>
          <w:sz w:val="32"/>
          <w:szCs w:val="28"/>
        </w:rPr>
        <w:t>个，</w:t>
      </w:r>
      <w:r>
        <w:rPr>
          <w:rFonts w:hint="eastAsia" w:ascii="仿宋_GB2312" w:hAnsi="宋体-18030" w:eastAsia="仿宋_GB2312" w:cs="宋体-18030"/>
          <w:sz w:val="32"/>
          <w:szCs w:val="28"/>
        </w:rPr>
        <w:t>建有省级医学重点专科10个，市级质量控制中心24个</w:t>
      </w:r>
      <w:r>
        <w:rPr>
          <w:rFonts w:hint="eastAsia" w:ascii="仿宋_GB2312" w:hAnsi="宋体" w:eastAsia="仿宋_GB2312"/>
          <w:sz w:val="32"/>
          <w:szCs w:val="28"/>
        </w:rPr>
        <w:t>。现有</w:t>
      </w:r>
      <w:r>
        <w:rPr>
          <w:rFonts w:hint="eastAsia" w:ascii="仿宋_GB2312" w:hAnsi="宋体-18030" w:eastAsia="仿宋_GB2312" w:cs="宋体-18030"/>
          <w:sz w:val="32"/>
          <w:szCs w:val="28"/>
        </w:rPr>
        <w:t>职工22</w:t>
      </w:r>
      <w:r>
        <w:rPr>
          <w:rFonts w:ascii="仿宋_GB2312" w:hAnsi="宋体-18030" w:eastAsia="仿宋_GB2312" w:cs="宋体-18030"/>
          <w:sz w:val="32"/>
          <w:szCs w:val="28"/>
        </w:rPr>
        <w:t>20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余</w:t>
      </w:r>
      <w:r>
        <w:rPr>
          <w:rFonts w:hint="eastAsia" w:ascii="仿宋_GB2312" w:hAnsi="宋体-18030" w:eastAsia="仿宋_GB2312" w:cs="宋体-18030"/>
          <w:sz w:val="32"/>
          <w:szCs w:val="28"/>
        </w:rPr>
        <w:t>人，其中专业技术人员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2004</w:t>
      </w:r>
      <w:r>
        <w:rPr>
          <w:rFonts w:hint="eastAsia" w:ascii="仿宋_GB2312" w:hAnsi="宋体-18030" w:eastAsia="仿宋_GB2312" w:cs="宋体-18030"/>
          <w:sz w:val="32"/>
          <w:szCs w:val="28"/>
        </w:rPr>
        <w:t>人，高级职称2</w:t>
      </w:r>
      <w:r>
        <w:rPr>
          <w:rFonts w:ascii="仿宋_GB2312" w:hAnsi="宋体-18030" w:eastAsia="仿宋_GB2312" w:cs="宋体-18030"/>
          <w:sz w:val="32"/>
          <w:szCs w:val="28"/>
        </w:rPr>
        <w:t>8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6</w:t>
      </w:r>
      <w:r>
        <w:rPr>
          <w:rFonts w:hint="eastAsia" w:ascii="仿宋_GB2312" w:hAnsi="宋体-18030" w:eastAsia="仿宋_GB2312" w:cs="宋体-18030"/>
          <w:sz w:val="32"/>
          <w:szCs w:val="28"/>
        </w:rPr>
        <w:t>人，博士研究生</w:t>
      </w:r>
      <w:r>
        <w:rPr>
          <w:rFonts w:ascii="仿宋_GB2312" w:hAnsi="宋体-18030" w:eastAsia="仿宋_GB2312" w:cs="宋体-18030"/>
          <w:sz w:val="32"/>
          <w:szCs w:val="28"/>
        </w:rPr>
        <w:t>1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3</w:t>
      </w:r>
      <w:r>
        <w:rPr>
          <w:rFonts w:hint="eastAsia" w:ascii="仿宋_GB2312" w:hAnsi="宋体-18030" w:eastAsia="仿宋_GB2312" w:cs="宋体-18030"/>
          <w:sz w:val="32"/>
          <w:szCs w:val="28"/>
        </w:rPr>
        <w:t>人，硕士研究生19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6</w:t>
      </w:r>
      <w:r>
        <w:rPr>
          <w:rFonts w:hint="eastAsia" w:ascii="仿宋_GB2312" w:hAnsi="宋体-18030" w:eastAsia="仿宋_GB2312" w:cs="宋体-18030"/>
          <w:sz w:val="32"/>
          <w:szCs w:val="28"/>
        </w:rPr>
        <w:t>人；四川省专家评议（审）委员、省学术技术带头人及后备人选、省有突出贡献优秀专家、省卫生计生委突出贡献中青年专家、市学术技术带头人、</w:t>
      </w:r>
      <w:r>
        <w:rPr>
          <w:rFonts w:hint="eastAsia" w:ascii="仿宋_GB2312" w:hAnsi="宋体-18030" w:eastAsia="仿宋_GB2312" w:cs="宋体-18030"/>
          <w:sz w:val="32"/>
          <w:szCs w:val="28"/>
          <w:lang w:val="en-US" w:eastAsia="zh-CN"/>
        </w:rPr>
        <w:t>广元名医、</w:t>
      </w:r>
      <w:r>
        <w:rPr>
          <w:rFonts w:hint="eastAsia" w:ascii="仿宋_GB2312" w:hAnsi="宋体-18030" w:eastAsia="仿宋_GB2312" w:cs="宋体-18030"/>
          <w:sz w:val="32"/>
          <w:szCs w:val="28"/>
        </w:rPr>
        <w:t>科技拔尖人才和创新、创业人才等共61人;中华医学会委员4人，中华医学会四川分会专委会副主任委员、常委委员121人；硕士生导师8人。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医院呈“一院三区”布局。老城主院区总建筑面积8.2万平方米；南河妇产儿童分院建筑面积4.2万余平方米，开设床位570张；北二环城北分院占地276亩，规划建筑总面积23万平方米，计划开设床位1900张。</w:t>
      </w:r>
      <w:r>
        <w:rPr>
          <w:rFonts w:hint="eastAsia" w:ascii="仿宋_GB2312" w:hAnsi="宋体-18030" w:eastAsia="仿宋_GB2312" w:cs="宋体-18030"/>
          <w:sz w:val="32"/>
          <w:szCs w:val="28"/>
        </w:rPr>
        <w:t>拥有国际一流、区域领先的高端医疗设施设备，总价值</w:t>
      </w:r>
      <w:r>
        <w:rPr>
          <w:rFonts w:ascii="仿宋_GB2312" w:hAnsi="宋体-18030" w:eastAsia="仿宋_GB2312" w:cs="宋体-18030"/>
          <w:sz w:val="32"/>
          <w:szCs w:val="28"/>
        </w:rPr>
        <w:t>5.34</w:t>
      </w:r>
      <w:r>
        <w:rPr>
          <w:rFonts w:hint="eastAsia" w:ascii="仿宋_GB2312" w:hAnsi="宋体-18030" w:eastAsia="仿宋_GB2312" w:cs="宋体-18030"/>
          <w:sz w:val="32"/>
          <w:szCs w:val="28"/>
        </w:rPr>
        <w:t>亿元，包括PET/CT、SPECT/CT、3.0T核磁共振、256排Revolution CT、直线加速器、DSA、HIFU刀、全自动医院物流系统等。</w:t>
      </w:r>
      <w:r>
        <w:rPr>
          <w:rFonts w:ascii="仿宋_GB2312" w:hAnsi="宋体-18030" w:eastAsia="仿宋_GB2312" w:cs="宋体-18030"/>
          <w:sz w:val="32"/>
          <w:szCs w:val="28"/>
        </w:rPr>
        <w:t>开展了</w:t>
      </w:r>
      <w:r>
        <w:rPr>
          <w:rFonts w:hint="eastAsia" w:ascii="仿宋_GB2312" w:hAnsi="宋体-18030" w:eastAsia="仿宋_GB2312" w:cs="宋体-18030"/>
          <w:sz w:val="32"/>
          <w:szCs w:val="28"/>
        </w:rPr>
        <w:t>TAVI、PFO等结构性心脏病经皮介入治疗技术，瓣膜成形和置换，复杂颅底肿瘤的显微外科治疗及内镜手术治疗，复杂颈椎结核手术，以及其他各类介入治疗、适形调强放射治疗、胸腹腔各类腔镜治疗等技术。</w:t>
      </w:r>
    </w:p>
    <w:sectPr>
      <w:footerReference r:id="rId3" w:type="default"/>
      <w:pgSz w:w="11906" w:h="16838"/>
      <w:pgMar w:top="1021" w:right="1531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0D"/>
    <w:rsid w:val="00065BE8"/>
    <w:rsid w:val="00091027"/>
    <w:rsid w:val="000944FC"/>
    <w:rsid w:val="000A2DED"/>
    <w:rsid w:val="000A70EB"/>
    <w:rsid w:val="000F00A4"/>
    <w:rsid w:val="00122894"/>
    <w:rsid w:val="00137D1C"/>
    <w:rsid w:val="00143F68"/>
    <w:rsid w:val="0014786B"/>
    <w:rsid w:val="00154552"/>
    <w:rsid w:val="00155B8C"/>
    <w:rsid w:val="001662F1"/>
    <w:rsid w:val="00184888"/>
    <w:rsid w:val="001E73FD"/>
    <w:rsid w:val="001F6E65"/>
    <w:rsid w:val="001F7E8C"/>
    <w:rsid w:val="0020299A"/>
    <w:rsid w:val="002414D2"/>
    <w:rsid w:val="00244EB4"/>
    <w:rsid w:val="002479EC"/>
    <w:rsid w:val="002A60D7"/>
    <w:rsid w:val="002C4B5A"/>
    <w:rsid w:val="002D3102"/>
    <w:rsid w:val="00321AFF"/>
    <w:rsid w:val="0032632D"/>
    <w:rsid w:val="00330EFF"/>
    <w:rsid w:val="00345064"/>
    <w:rsid w:val="003571D3"/>
    <w:rsid w:val="003763C1"/>
    <w:rsid w:val="00387BC2"/>
    <w:rsid w:val="00395D3E"/>
    <w:rsid w:val="003E76C4"/>
    <w:rsid w:val="00434294"/>
    <w:rsid w:val="00445DC9"/>
    <w:rsid w:val="00463520"/>
    <w:rsid w:val="00473374"/>
    <w:rsid w:val="00486533"/>
    <w:rsid w:val="00490F2E"/>
    <w:rsid w:val="005175D4"/>
    <w:rsid w:val="0052171B"/>
    <w:rsid w:val="00551AD1"/>
    <w:rsid w:val="00555747"/>
    <w:rsid w:val="00572888"/>
    <w:rsid w:val="0058120D"/>
    <w:rsid w:val="005B493E"/>
    <w:rsid w:val="005C3ACF"/>
    <w:rsid w:val="005D3741"/>
    <w:rsid w:val="005E5F48"/>
    <w:rsid w:val="0061252B"/>
    <w:rsid w:val="00621F18"/>
    <w:rsid w:val="00631D6D"/>
    <w:rsid w:val="00632915"/>
    <w:rsid w:val="00636FC3"/>
    <w:rsid w:val="00653632"/>
    <w:rsid w:val="00655F4F"/>
    <w:rsid w:val="00672519"/>
    <w:rsid w:val="006838E3"/>
    <w:rsid w:val="00684550"/>
    <w:rsid w:val="00686703"/>
    <w:rsid w:val="00695224"/>
    <w:rsid w:val="00715347"/>
    <w:rsid w:val="00733083"/>
    <w:rsid w:val="00796251"/>
    <w:rsid w:val="007A32CE"/>
    <w:rsid w:val="007B63B0"/>
    <w:rsid w:val="007C158B"/>
    <w:rsid w:val="007F1C46"/>
    <w:rsid w:val="00807D67"/>
    <w:rsid w:val="00811848"/>
    <w:rsid w:val="008A7A37"/>
    <w:rsid w:val="008B7CBD"/>
    <w:rsid w:val="008C2288"/>
    <w:rsid w:val="00941D76"/>
    <w:rsid w:val="00943F31"/>
    <w:rsid w:val="009879AA"/>
    <w:rsid w:val="00A210FD"/>
    <w:rsid w:val="00A44AE5"/>
    <w:rsid w:val="00A47106"/>
    <w:rsid w:val="00A4798D"/>
    <w:rsid w:val="00AE360E"/>
    <w:rsid w:val="00AF7403"/>
    <w:rsid w:val="00B11ECD"/>
    <w:rsid w:val="00B33BC3"/>
    <w:rsid w:val="00B60770"/>
    <w:rsid w:val="00BB2486"/>
    <w:rsid w:val="00BC32E5"/>
    <w:rsid w:val="00BD2887"/>
    <w:rsid w:val="00BF677C"/>
    <w:rsid w:val="00C16648"/>
    <w:rsid w:val="00C32429"/>
    <w:rsid w:val="00C35453"/>
    <w:rsid w:val="00C438F1"/>
    <w:rsid w:val="00C44140"/>
    <w:rsid w:val="00C97F1D"/>
    <w:rsid w:val="00CA7FE3"/>
    <w:rsid w:val="00CB3837"/>
    <w:rsid w:val="00CC76DD"/>
    <w:rsid w:val="00D14CA0"/>
    <w:rsid w:val="00D371B1"/>
    <w:rsid w:val="00D442B8"/>
    <w:rsid w:val="00D665B7"/>
    <w:rsid w:val="00D92702"/>
    <w:rsid w:val="00D97C26"/>
    <w:rsid w:val="00DA245E"/>
    <w:rsid w:val="00DA2BA3"/>
    <w:rsid w:val="00DC111C"/>
    <w:rsid w:val="00DC6009"/>
    <w:rsid w:val="00DD3397"/>
    <w:rsid w:val="00DE7D1D"/>
    <w:rsid w:val="00DF30A2"/>
    <w:rsid w:val="00DF38F7"/>
    <w:rsid w:val="00E5497F"/>
    <w:rsid w:val="00E7425E"/>
    <w:rsid w:val="00EA4CDF"/>
    <w:rsid w:val="00EB3287"/>
    <w:rsid w:val="00EB5250"/>
    <w:rsid w:val="00EB77EB"/>
    <w:rsid w:val="00EC4A5F"/>
    <w:rsid w:val="00ED5488"/>
    <w:rsid w:val="00EF69ED"/>
    <w:rsid w:val="00EF79A8"/>
    <w:rsid w:val="00F06307"/>
    <w:rsid w:val="00F144F8"/>
    <w:rsid w:val="00F555E0"/>
    <w:rsid w:val="00F6053B"/>
    <w:rsid w:val="00F75035"/>
    <w:rsid w:val="00F83BED"/>
    <w:rsid w:val="00F96D8D"/>
    <w:rsid w:val="00FD4D99"/>
    <w:rsid w:val="247332A5"/>
    <w:rsid w:val="29B4609F"/>
    <w:rsid w:val="2E9737F7"/>
    <w:rsid w:val="305E74EC"/>
    <w:rsid w:val="5A863B6A"/>
    <w:rsid w:val="68180096"/>
    <w:rsid w:val="7E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2020-07-04T01:57:00Z</dcterms:created>
  <dc:creator>AutoBVT</dc:creator>
  <cp:lastModifiedBy>旋律</cp:lastModifiedBy>
  <cp:lastPrinted>2019-11-20T00:57:00Z</cp:lastPrinted>
  <dcterms:modified xsi:type="dcterms:W3CDTF">2021-08-16T06:39:16Z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2D0A411B4E1B4A208D479FB622AD7F80</vt:lpwstr>
  </property>
</Properties>
</file>